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3583" w:rsidRPr="00FE6F1C" w:rsidRDefault="00C43583" w:rsidP="00C43583">
      <w:pPr>
        <w:spacing w:line="480" w:lineRule="auto"/>
        <w:jc w:val="center"/>
        <w:rPr>
          <w:rFonts w:ascii="Times New Roman" w:hAnsi="Times New Roman" w:cs="Times New Roman"/>
          <w:sz w:val="24"/>
          <w:szCs w:val="24"/>
        </w:rPr>
      </w:pPr>
    </w:p>
    <w:p w:rsidR="00C43583" w:rsidRPr="00FE6F1C" w:rsidRDefault="00C43583" w:rsidP="00C43583">
      <w:pPr>
        <w:spacing w:line="480" w:lineRule="auto"/>
        <w:jc w:val="center"/>
        <w:rPr>
          <w:rFonts w:ascii="Times New Roman" w:hAnsi="Times New Roman" w:cs="Times New Roman"/>
          <w:sz w:val="24"/>
          <w:szCs w:val="24"/>
        </w:rPr>
      </w:pPr>
    </w:p>
    <w:p w:rsidR="00C43583" w:rsidRPr="00FE6F1C" w:rsidRDefault="00C43583" w:rsidP="00C43583">
      <w:pPr>
        <w:spacing w:line="480" w:lineRule="auto"/>
        <w:jc w:val="center"/>
        <w:rPr>
          <w:rFonts w:ascii="Times New Roman" w:hAnsi="Times New Roman" w:cs="Times New Roman"/>
          <w:sz w:val="24"/>
          <w:szCs w:val="24"/>
        </w:rPr>
      </w:pPr>
    </w:p>
    <w:p w:rsidR="00C43583" w:rsidRPr="00FE6F1C" w:rsidRDefault="00C43583" w:rsidP="00C43583">
      <w:pPr>
        <w:spacing w:line="480" w:lineRule="auto"/>
        <w:jc w:val="center"/>
        <w:rPr>
          <w:rFonts w:ascii="Times New Roman" w:hAnsi="Times New Roman" w:cs="Times New Roman"/>
          <w:sz w:val="24"/>
          <w:szCs w:val="24"/>
        </w:rPr>
      </w:pPr>
    </w:p>
    <w:p w:rsidR="00C43583" w:rsidRPr="00FE6F1C" w:rsidRDefault="00C43583" w:rsidP="00C43583">
      <w:pPr>
        <w:spacing w:line="480" w:lineRule="auto"/>
        <w:jc w:val="center"/>
        <w:rPr>
          <w:rFonts w:ascii="Times New Roman" w:hAnsi="Times New Roman" w:cs="Times New Roman"/>
          <w:sz w:val="24"/>
          <w:szCs w:val="24"/>
        </w:rPr>
      </w:pPr>
    </w:p>
    <w:p w:rsidR="00C43583" w:rsidRPr="00FE6F1C" w:rsidRDefault="00C43583" w:rsidP="00C43583">
      <w:pPr>
        <w:spacing w:line="480" w:lineRule="auto"/>
        <w:jc w:val="center"/>
        <w:rPr>
          <w:rFonts w:ascii="Times New Roman" w:hAnsi="Times New Roman" w:cs="Times New Roman"/>
          <w:sz w:val="24"/>
          <w:szCs w:val="24"/>
        </w:rPr>
      </w:pPr>
    </w:p>
    <w:p w:rsidR="00C43583" w:rsidRPr="00FE6F1C" w:rsidRDefault="00C43583" w:rsidP="00C43583">
      <w:pPr>
        <w:spacing w:line="480" w:lineRule="auto"/>
        <w:jc w:val="center"/>
        <w:rPr>
          <w:rFonts w:ascii="Times New Roman" w:hAnsi="Times New Roman" w:cs="Times New Roman"/>
          <w:sz w:val="24"/>
          <w:szCs w:val="24"/>
        </w:rPr>
      </w:pPr>
    </w:p>
    <w:p w:rsidR="007F77C1" w:rsidRDefault="007F77C1" w:rsidP="00C43583">
      <w:pPr>
        <w:spacing w:line="480" w:lineRule="auto"/>
        <w:jc w:val="center"/>
        <w:rPr>
          <w:rFonts w:ascii="Times New Roman" w:hAnsi="Times New Roman" w:cs="Times New Roman"/>
          <w:sz w:val="24"/>
          <w:szCs w:val="24"/>
        </w:rPr>
      </w:pPr>
    </w:p>
    <w:p w:rsidR="007F77C1" w:rsidRDefault="007F77C1" w:rsidP="00C4358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F77C1" w:rsidRDefault="007F77C1" w:rsidP="00C4358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F77C1" w:rsidRDefault="007F77C1" w:rsidP="00C4358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762C3" w:rsidRPr="00FE6F1C" w:rsidRDefault="007F77C1" w:rsidP="00C43583">
      <w:pPr>
        <w:spacing w:line="480" w:lineRule="auto"/>
        <w:jc w:val="center"/>
        <w:rPr>
          <w:rFonts w:ascii="Times New Roman" w:hAnsi="Times New Roman" w:cs="Times New Roman"/>
          <w:sz w:val="24"/>
          <w:szCs w:val="24"/>
        </w:rPr>
      </w:pPr>
      <w:r>
        <w:rPr>
          <w:rFonts w:ascii="Times New Roman" w:hAnsi="Times New Roman" w:cs="Times New Roman"/>
          <w:sz w:val="24"/>
          <w:szCs w:val="24"/>
        </w:rPr>
        <w:t>Part E</w:t>
      </w:r>
    </w:p>
    <w:p w:rsidR="00C43583" w:rsidRPr="00FE6F1C" w:rsidRDefault="00C43583">
      <w:pPr>
        <w:rPr>
          <w:rFonts w:ascii="Times New Roman" w:hAnsi="Times New Roman" w:cs="Times New Roman"/>
          <w:sz w:val="24"/>
          <w:szCs w:val="24"/>
        </w:rPr>
      </w:pPr>
      <w:r w:rsidRPr="00FE6F1C">
        <w:rPr>
          <w:rFonts w:ascii="Times New Roman" w:hAnsi="Times New Roman" w:cs="Times New Roman"/>
          <w:sz w:val="24"/>
          <w:szCs w:val="24"/>
        </w:rPr>
        <w:br w:type="page"/>
      </w:r>
    </w:p>
    <w:p w:rsidR="00B75565" w:rsidRPr="00B75565" w:rsidRDefault="00B75565" w:rsidP="00B75565">
      <w:pPr>
        <w:spacing w:line="480" w:lineRule="auto"/>
        <w:ind w:firstLine="720"/>
        <w:rPr>
          <w:rFonts w:ascii="Times New Roman" w:hAnsi="Times New Roman" w:cs="Times New Roman"/>
          <w:sz w:val="24"/>
          <w:szCs w:val="24"/>
        </w:rPr>
      </w:pPr>
      <w:r w:rsidRPr="00B75565">
        <w:rPr>
          <w:rFonts w:ascii="Times New Roman" w:hAnsi="Times New Roman" w:cs="Times New Roman"/>
          <w:sz w:val="24"/>
          <w:szCs w:val="24"/>
        </w:rPr>
        <w:lastRenderedPageBreak/>
        <w:t xml:space="preserve">The 2007-08 financial crisis also referred to as the global financial crisis is one of the crises that had an economic impact on the global economy since the great depression. The crisis was sparked by the fall of the mortgage market in the United States and would later get to full blown with the collapse of the banking sector. The activities trigged the collapse of other financial institutions all over the world. It took almost a decade for the economy to recover from the crisis which resulted in many people losing their source of livelihood. </w:t>
      </w:r>
      <w:r w:rsidR="007F77C1">
        <w:rPr>
          <w:rFonts w:ascii="Times New Roman" w:hAnsi="Times New Roman" w:cs="Times New Roman"/>
          <w:sz w:val="24"/>
          <w:szCs w:val="24"/>
        </w:rPr>
        <w:t>“</w:t>
      </w:r>
      <w:r w:rsidRPr="00B75565">
        <w:rPr>
          <w:rFonts w:ascii="Times New Roman" w:hAnsi="Times New Roman" w:cs="Times New Roman"/>
          <w:sz w:val="24"/>
          <w:szCs w:val="24"/>
        </w:rPr>
        <w:t>Although it is considered one of the most severe after the great depression, the crisis was as a result of finan</w:t>
      </w:r>
      <w:r w:rsidR="007F77C1">
        <w:rPr>
          <w:rFonts w:ascii="Times New Roman" w:hAnsi="Times New Roman" w:cs="Times New Roman"/>
          <w:sz w:val="24"/>
          <w:szCs w:val="24"/>
        </w:rPr>
        <w:t>cial mismanagement.” (Ovanhouser, 2009)</w:t>
      </w:r>
    </w:p>
    <w:p w:rsidR="00B75565" w:rsidRPr="00B75565" w:rsidRDefault="00B75565" w:rsidP="00B75565">
      <w:pPr>
        <w:spacing w:line="480" w:lineRule="auto"/>
        <w:ind w:firstLine="720"/>
        <w:rPr>
          <w:rFonts w:ascii="Times New Roman" w:hAnsi="Times New Roman" w:cs="Times New Roman"/>
          <w:sz w:val="24"/>
          <w:szCs w:val="24"/>
        </w:rPr>
      </w:pPr>
      <w:r w:rsidRPr="00B75565">
        <w:rPr>
          <w:rFonts w:ascii="Times New Roman" w:hAnsi="Times New Roman" w:cs="Times New Roman"/>
          <w:sz w:val="24"/>
          <w:szCs w:val="24"/>
        </w:rPr>
        <w:t xml:space="preserve">In the last half of the 20th and 21st century, the housing prices increased tremendously. The increasing trend hit it top between 2002 and 2005. The housing bubble was characterized by inflated prices of housing. It was driven by the investor’s desire to increase their investment from the housing projects. Individual contractors would only enter into an agreement if the price of the housing increases. Every investor literally moved to a housing project since it seemed a good bet. The condition of the housing sector can be traced back in 1913 after the enacted of the Revenue Act. The ongoing government policies and regulations favored investments in the housing industry. The revenue Act allowed deduction in the home mortgage which allowed more money for the private home. Although this was not the intended purpose, the Act ensures that individuals were exempted from paying taxes after deduction in mortgage interests. </w:t>
      </w:r>
      <w:r w:rsidR="007F77C1">
        <w:rPr>
          <w:rFonts w:ascii="Times New Roman" w:hAnsi="Times New Roman" w:cs="Times New Roman"/>
          <w:sz w:val="24"/>
          <w:szCs w:val="24"/>
        </w:rPr>
        <w:t>“</w:t>
      </w:r>
      <w:r w:rsidRPr="00B75565">
        <w:rPr>
          <w:rFonts w:ascii="Times New Roman" w:hAnsi="Times New Roman" w:cs="Times New Roman"/>
          <w:sz w:val="24"/>
          <w:szCs w:val="24"/>
        </w:rPr>
        <w:t>A part of the housing investment would be paid by the government via the tax bill thus acting as a</w:t>
      </w:r>
      <w:r w:rsidR="007F77C1">
        <w:rPr>
          <w:rFonts w:ascii="Times New Roman" w:hAnsi="Times New Roman" w:cs="Times New Roman"/>
          <w:sz w:val="24"/>
          <w:szCs w:val="24"/>
        </w:rPr>
        <w:t xml:space="preserve"> subsidy to the program.” (Kawai, </w:t>
      </w:r>
      <w:r w:rsidR="007F77C1" w:rsidRPr="00CE1FE2">
        <w:rPr>
          <w:rFonts w:ascii="Times New Roman" w:eastAsia="Times New Roman" w:hAnsi="Times New Roman" w:cs="Times New Roman"/>
          <w:color w:val="000000"/>
          <w:sz w:val="24"/>
          <w:szCs w:val="24"/>
        </w:rPr>
        <w:t>Prasad</w:t>
      </w:r>
      <w:r w:rsidR="007F77C1">
        <w:rPr>
          <w:rFonts w:ascii="Times New Roman" w:hAnsi="Times New Roman" w:cs="Times New Roman"/>
          <w:sz w:val="24"/>
          <w:szCs w:val="24"/>
        </w:rPr>
        <w:t xml:space="preserve">, </w:t>
      </w:r>
      <w:r w:rsidRPr="00B75565">
        <w:rPr>
          <w:rFonts w:ascii="Times New Roman" w:hAnsi="Times New Roman" w:cs="Times New Roman"/>
          <w:sz w:val="24"/>
          <w:szCs w:val="24"/>
        </w:rPr>
        <w:t>2011).</w:t>
      </w:r>
    </w:p>
    <w:p w:rsidR="00B75565" w:rsidRPr="00B75565" w:rsidRDefault="00B75565" w:rsidP="00B75565">
      <w:pPr>
        <w:spacing w:line="480" w:lineRule="auto"/>
        <w:ind w:firstLine="720"/>
        <w:rPr>
          <w:rFonts w:ascii="Times New Roman" w:hAnsi="Times New Roman" w:cs="Times New Roman"/>
          <w:sz w:val="24"/>
          <w:szCs w:val="24"/>
        </w:rPr>
      </w:pPr>
      <w:r w:rsidRPr="00B75565">
        <w:rPr>
          <w:rFonts w:ascii="Times New Roman" w:hAnsi="Times New Roman" w:cs="Times New Roman"/>
          <w:sz w:val="24"/>
          <w:szCs w:val="24"/>
        </w:rPr>
        <w:t xml:space="preserve">In an attempt to make housing more affordable the government passed more laws.  Majority of the middle and lower class required assistance from the government when buying a house, so in 1933 the Congress passed the Home Owner Loan Act which allowed people to </w:t>
      </w:r>
      <w:r w:rsidRPr="00B75565">
        <w:rPr>
          <w:rFonts w:ascii="Times New Roman" w:hAnsi="Times New Roman" w:cs="Times New Roman"/>
          <w:sz w:val="24"/>
          <w:szCs w:val="24"/>
        </w:rPr>
        <w:lastRenderedPageBreak/>
        <w:t xml:space="preserve">borrow loans for housing. A person would be given a second chance in the event he or she defaulted. To making mortgages more attractive, the government passed the National Housing Act that allowed the government to extend insurance to lenders. The safety net by the state in loan increased the rate of borrowing and lending. The Fammie Mae was responsible for maintaining a market used for selling and repackaging mortgages. This ensured that the lenders would service more mortgages. Many years after promoting the growth of the mortgage market, the government moved in to make the market profitable. Under President Clinton, in the 1990s the state passed more regulations. </w:t>
      </w:r>
      <w:r w:rsidR="007F77C1">
        <w:rPr>
          <w:rFonts w:ascii="Times New Roman" w:hAnsi="Times New Roman" w:cs="Times New Roman"/>
          <w:sz w:val="24"/>
          <w:szCs w:val="24"/>
        </w:rPr>
        <w:t>“</w:t>
      </w:r>
      <w:r w:rsidRPr="00B75565">
        <w:rPr>
          <w:rFonts w:ascii="Times New Roman" w:hAnsi="Times New Roman" w:cs="Times New Roman"/>
          <w:sz w:val="24"/>
          <w:szCs w:val="24"/>
        </w:rPr>
        <w:t>The continuous regulations in the market ensured that investors would make significant profits from the market</w:t>
      </w:r>
      <w:r w:rsidR="007F77C1">
        <w:rPr>
          <w:rFonts w:ascii="Times New Roman" w:hAnsi="Times New Roman" w:cs="Times New Roman"/>
          <w:sz w:val="24"/>
          <w:szCs w:val="24"/>
        </w:rPr>
        <w:t>.”</w:t>
      </w:r>
      <w:r w:rsidRPr="00B75565">
        <w:rPr>
          <w:rFonts w:ascii="Times New Roman" w:hAnsi="Times New Roman" w:cs="Times New Roman"/>
          <w:sz w:val="24"/>
          <w:szCs w:val="24"/>
        </w:rPr>
        <w:t xml:space="preserve"> (Ovanhouser, 2009). The regulations in the mortgage securitization made even the prices of housing higher. Due to the continued increase in the prices, the lenders went on to offer loans until investors could no longer pay their debts. In 2007 many borrowers defaulted their loans thus causing many banks to foreclosure. Majority of the investors now found themselves owing more than the value of the house. Other regulations passed include the Banking Act of 1933 which was acted as a response to the great depression. All the laws passed were meant to increase the number of homeowners but the government did not foresee the n</w:t>
      </w:r>
      <w:r w:rsidR="007F77C1">
        <w:rPr>
          <w:rFonts w:ascii="Times New Roman" w:hAnsi="Times New Roman" w:cs="Times New Roman"/>
          <w:sz w:val="24"/>
          <w:szCs w:val="24"/>
        </w:rPr>
        <w:t>egative impact of the same (</w:t>
      </w:r>
      <w:r w:rsidRPr="00B75565">
        <w:rPr>
          <w:rFonts w:ascii="Times New Roman" w:hAnsi="Times New Roman" w:cs="Times New Roman"/>
          <w:sz w:val="24"/>
          <w:szCs w:val="24"/>
        </w:rPr>
        <w:t>United States. 2011).</w:t>
      </w:r>
    </w:p>
    <w:p w:rsidR="00C43583" w:rsidRDefault="00B75565" w:rsidP="00B75565">
      <w:pPr>
        <w:spacing w:line="480" w:lineRule="auto"/>
        <w:ind w:firstLine="720"/>
        <w:rPr>
          <w:rFonts w:ascii="Times New Roman" w:hAnsi="Times New Roman" w:cs="Times New Roman"/>
          <w:sz w:val="24"/>
          <w:szCs w:val="24"/>
        </w:rPr>
      </w:pPr>
      <w:r w:rsidRPr="00B75565">
        <w:rPr>
          <w:rFonts w:ascii="Times New Roman" w:hAnsi="Times New Roman" w:cs="Times New Roman"/>
          <w:sz w:val="24"/>
          <w:szCs w:val="24"/>
        </w:rPr>
        <w:t xml:space="preserve">To deal with the impact of the financial crisis of the 2007-08 the government passed the Dodd-Frank Act. This was considered as one of the most comprehensive finance Act in history. The Act was passed to protect the consumers from exploitation by financial institutions. Mortgage companies were prohibited from exploiting customers. The restrictions put on the financial requirement ensured that there were no avenues for taking advantage of the clients. Critics, however, argue that the Act has burdened the investors with many restrictions when it comes to investment decisions. The 2007-08 financial crisis was characterized by the collapse of </w:t>
      </w:r>
      <w:r w:rsidRPr="00B75565">
        <w:rPr>
          <w:rFonts w:ascii="Times New Roman" w:hAnsi="Times New Roman" w:cs="Times New Roman"/>
          <w:sz w:val="24"/>
          <w:szCs w:val="24"/>
        </w:rPr>
        <w:lastRenderedPageBreak/>
        <w:t xml:space="preserve">the financial market. Many argue that the lack of regulations in the industry caused the crisis. As a response of the same, The Dodd-Frank Act was tabled at the House of Representative in 2009 by Chris Dodd and Barney Frank. Some of the provision in the Act include: banks were required to increase the reserve ratio, financial institutions with more than $US50million should take an annual stress test as stipulated by the Federal Bank and banks were required to quickly come up with a plan in the event of bankruptcy. </w:t>
      </w:r>
      <w:r w:rsidR="007F77C1">
        <w:rPr>
          <w:rFonts w:ascii="Times New Roman" w:hAnsi="Times New Roman" w:cs="Times New Roman"/>
          <w:sz w:val="24"/>
          <w:szCs w:val="24"/>
        </w:rPr>
        <w:t>“</w:t>
      </w:r>
      <w:r w:rsidRPr="00B75565">
        <w:rPr>
          <w:rFonts w:ascii="Times New Roman" w:hAnsi="Times New Roman" w:cs="Times New Roman"/>
          <w:sz w:val="24"/>
          <w:szCs w:val="24"/>
        </w:rPr>
        <w:t>Other provisions were put in place to protect consumers from exploitation</w:t>
      </w:r>
      <w:r w:rsidR="007F77C1">
        <w:rPr>
          <w:rFonts w:ascii="Times New Roman" w:hAnsi="Times New Roman" w:cs="Times New Roman"/>
          <w:sz w:val="24"/>
          <w:szCs w:val="24"/>
        </w:rPr>
        <w:t>.”</w:t>
      </w:r>
      <w:r w:rsidRPr="00B75565">
        <w:rPr>
          <w:rFonts w:ascii="Times New Roman" w:hAnsi="Times New Roman" w:cs="Times New Roman"/>
          <w:sz w:val="24"/>
          <w:szCs w:val="24"/>
        </w:rPr>
        <w:t xml:space="preserve"> (Ojo, 2013). The Volcker Rule was put in place to prohibit banks from making an investment for their own behalf. Some of the critics argued that the Act would hinder economic growth due to the strict guidelines. However, the proponents stated that consumers from being protected from any unfair dealings. In 2017, President Trump issued an executive order instructing the Congress to review the Act and made necessary remedies in an attemp</w:t>
      </w:r>
      <w:r w:rsidR="007F77C1">
        <w:rPr>
          <w:rFonts w:ascii="Times New Roman" w:hAnsi="Times New Roman" w:cs="Times New Roman"/>
          <w:sz w:val="24"/>
          <w:szCs w:val="24"/>
        </w:rPr>
        <w:t>t to boost economic growth (</w:t>
      </w:r>
      <w:bookmarkStart w:id="0" w:name="_GoBack"/>
      <w:bookmarkEnd w:id="0"/>
      <w:r w:rsidRPr="00B75565">
        <w:rPr>
          <w:rFonts w:ascii="Times New Roman" w:hAnsi="Times New Roman" w:cs="Times New Roman"/>
          <w:sz w:val="24"/>
          <w:szCs w:val="24"/>
        </w:rPr>
        <w:t>United States. 2011).</w:t>
      </w:r>
    </w:p>
    <w:p w:rsidR="00CE1FE2" w:rsidRDefault="00CE1FE2" w:rsidP="00C43583">
      <w:pPr>
        <w:spacing w:line="480" w:lineRule="auto"/>
        <w:rPr>
          <w:rFonts w:ascii="Times New Roman" w:hAnsi="Times New Roman" w:cs="Times New Roman"/>
          <w:sz w:val="24"/>
          <w:szCs w:val="24"/>
        </w:rPr>
      </w:pPr>
    </w:p>
    <w:p w:rsidR="00CE1FE2" w:rsidRDefault="00CE1FE2" w:rsidP="00C43583">
      <w:pPr>
        <w:spacing w:line="480" w:lineRule="auto"/>
        <w:rPr>
          <w:rFonts w:ascii="Times New Roman" w:hAnsi="Times New Roman" w:cs="Times New Roman"/>
          <w:sz w:val="24"/>
          <w:szCs w:val="24"/>
        </w:rPr>
      </w:pPr>
    </w:p>
    <w:p w:rsidR="00CE1FE2" w:rsidRDefault="00CE1FE2" w:rsidP="00C43583">
      <w:pPr>
        <w:spacing w:line="480" w:lineRule="auto"/>
        <w:rPr>
          <w:rFonts w:ascii="Times New Roman" w:hAnsi="Times New Roman" w:cs="Times New Roman"/>
          <w:sz w:val="24"/>
          <w:szCs w:val="24"/>
        </w:rPr>
      </w:pPr>
    </w:p>
    <w:p w:rsidR="00CE1FE2" w:rsidRDefault="00CE1FE2" w:rsidP="00C43583">
      <w:pPr>
        <w:spacing w:line="480" w:lineRule="auto"/>
        <w:rPr>
          <w:rFonts w:ascii="Times New Roman" w:hAnsi="Times New Roman" w:cs="Times New Roman"/>
          <w:sz w:val="24"/>
          <w:szCs w:val="24"/>
        </w:rPr>
      </w:pPr>
    </w:p>
    <w:p w:rsidR="00CE1FE2" w:rsidRDefault="00CE1FE2" w:rsidP="00C43583">
      <w:pPr>
        <w:spacing w:line="480" w:lineRule="auto"/>
        <w:rPr>
          <w:rFonts w:ascii="Times New Roman" w:hAnsi="Times New Roman" w:cs="Times New Roman"/>
          <w:sz w:val="24"/>
          <w:szCs w:val="24"/>
        </w:rPr>
      </w:pPr>
    </w:p>
    <w:p w:rsidR="00CE1FE2" w:rsidRDefault="00CE1FE2" w:rsidP="00C43583">
      <w:pPr>
        <w:spacing w:line="480" w:lineRule="auto"/>
        <w:rPr>
          <w:rFonts w:ascii="Times New Roman" w:hAnsi="Times New Roman" w:cs="Times New Roman"/>
          <w:sz w:val="24"/>
          <w:szCs w:val="24"/>
        </w:rPr>
      </w:pPr>
    </w:p>
    <w:p w:rsidR="00CE1FE2" w:rsidRDefault="00CE1FE2" w:rsidP="00C43583">
      <w:pPr>
        <w:spacing w:line="480" w:lineRule="auto"/>
        <w:rPr>
          <w:rFonts w:ascii="Times New Roman" w:hAnsi="Times New Roman" w:cs="Times New Roman"/>
          <w:sz w:val="24"/>
          <w:szCs w:val="24"/>
        </w:rPr>
      </w:pPr>
    </w:p>
    <w:p w:rsidR="00CE1FE2" w:rsidRDefault="00CE1FE2" w:rsidP="00C43583">
      <w:pPr>
        <w:spacing w:line="480" w:lineRule="auto"/>
        <w:rPr>
          <w:rFonts w:ascii="Times New Roman" w:hAnsi="Times New Roman" w:cs="Times New Roman"/>
          <w:sz w:val="24"/>
          <w:szCs w:val="24"/>
        </w:rPr>
      </w:pPr>
    </w:p>
    <w:p w:rsidR="007F77C1" w:rsidRDefault="007F77C1" w:rsidP="00C43583">
      <w:pPr>
        <w:spacing w:line="480" w:lineRule="auto"/>
        <w:rPr>
          <w:rFonts w:ascii="Times New Roman" w:hAnsi="Times New Roman" w:cs="Times New Roman"/>
          <w:sz w:val="24"/>
          <w:szCs w:val="24"/>
        </w:rPr>
      </w:pPr>
    </w:p>
    <w:p w:rsidR="00CE1FE2" w:rsidRPr="00CE1FE2" w:rsidRDefault="00CE1FE2" w:rsidP="00CE1FE2">
      <w:pPr>
        <w:shd w:val="clear" w:color="auto" w:fill="FFFFFF"/>
        <w:spacing w:after="0" w:line="240" w:lineRule="auto"/>
        <w:jc w:val="center"/>
        <w:rPr>
          <w:rFonts w:ascii="Times New Roman" w:eastAsia="Times New Roman" w:hAnsi="Times New Roman" w:cs="Times New Roman"/>
          <w:color w:val="000000"/>
          <w:sz w:val="24"/>
          <w:szCs w:val="24"/>
        </w:rPr>
      </w:pPr>
      <w:r w:rsidRPr="00CE1FE2">
        <w:rPr>
          <w:rFonts w:ascii="Times New Roman" w:eastAsia="Times New Roman" w:hAnsi="Times New Roman" w:cs="Times New Roman"/>
          <w:color w:val="000000"/>
          <w:sz w:val="24"/>
          <w:szCs w:val="24"/>
        </w:rPr>
        <w:lastRenderedPageBreak/>
        <w:t>References</w:t>
      </w:r>
    </w:p>
    <w:p w:rsidR="00CE1FE2" w:rsidRPr="00CE1FE2" w:rsidRDefault="00CE1FE2" w:rsidP="00CE1FE2">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CE1FE2">
        <w:rPr>
          <w:rFonts w:ascii="Times New Roman" w:eastAsia="Times New Roman" w:hAnsi="Times New Roman" w:cs="Times New Roman"/>
          <w:color w:val="000000"/>
          <w:sz w:val="24"/>
          <w:szCs w:val="24"/>
        </w:rPr>
        <w:t>Kawai, M., &amp; Prasad, E. (2011). </w:t>
      </w:r>
      <w:r w:rsidRPr="00CE1FE2">
        <w:rPr>
          <w:rFonts w:ascii="Times New Roman" w:eastAsia="Times New Roman" w:hAnsi="Times New Roman" w:cs="Times New Roman"/>
          <w:i/>
          <w:iCs/>
          <w:color w:val="000000"/>
          <w:sz w:val="24"/>
          <w:szCs w:val="24"/>
        </w:rPr>
        <w:t>Financial market regulation and reforms in emerging markets</w:t>
      </w:r>
      <w:r w:rsidRPr="00CE1FE2">
        <w:rPr>
          <w:rFonts w:ascii="Times New Roman" w:eastAsia="Times New Roman" w:hAnsi="Times New Roman" w:cs="Times New Roman"/>
          <w:color w:val="000000"/>
          <w:sz w:val="24"/>
          <w:szCs w:val="24"/>
        </w:rPr>
        <w:t>. Washington, DC: Brookings Institution Press.</w:t>
      </w:r>
    </w:p>
    <w:p w:rsidR="00CE1FE2" w:rsidRPr="00CE1FE2" w:rsidRDefault="00CE1FE2" w:rsidP="00CE1FE2">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CE1FE2">
        <w:rPr>
          <w:rFonts w:ascii="Times New Roman" w:eastAsia="Times New Roman" w:hAnsi="Times New Roman" w:cs="Times New Roman"/>
          <w:color w:val="000000"/>
          <w:sz w:val="24"/>
          <w:szCs w:val="24"/>
        </w:rPr>
        <w:t>Ojo, M. (2013). </w:t>
      </w:r>
      <w:r w:rsidRPr="00CE1FE2">
        <w:rPr>
          <w:rFonts w:ascii="Times New Roman" w:eastAsia="Times New Roman" w:hAnsi="Times New Roman" w:cs="Times New Roman"/>
          <w:i/>
          <w:iCs/>
          <w:color w:val="000000"/>
          <w:sz w:val="24"/>
          <w:szCs w:val="24"/>
        </w:rPr>
        <w:t>Recovering from the global financial crisis: Achieving financial stability in times of uncertainty</w:t>
      </w:r>
      <w:r w:rsidRPr="00CE1FE2">
        <w:rPr>
          <w:rFonts w:ascii="Times New Roman" w:eastAsia="Times New Roman" w:hAnsi="Times New Roman" w:cs="Times New Roman"/>
          <w:color w:val="000000"/>
          <w:sz w:val="24"/>
          <w:szCs w:val="24"/>
        </w:rPr>
        <w:t>. New York, NY: Business Expert Press.</w:t>
      </w:r>
    </w:p>
    <w:p w:rsidR="00CE1FE2" w:rsidRPr="00CE1FE2" w:rsidRDefault="00CE1FE2" w:rsidP="00CE1FE2">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CE1FE2">
        <w:rPr>
          <w:rFonts w:ascii="Times New Roman" w:eastAsia="Times New Roman" w:hAnsi="Times New Roman" w:cs="Times New Roman"/>
          <w:color w:val="000000"/>
          <w:sz w:val="24"/>
          <w:szCs w:val="24"/>
        </w:rPr>
        <w:t>Ovanhouser, R. T. (2009). </w:t>
      </w:r>
      <w:r w:rsidRPr="00CE1FE2">
        <w:rPr>
          <w:rFonts w:ascii="Times New Roman" w:eastAsia="Times New Roman" w:hAnsi="Times New Roman" w:cs="Times New Roman"/>
          <w:i/>
          <w:iCs/>
          <w:color w:val="000000"/>
          <w:sz w:val="24"/>
          <w:szCs w:val="24"/>
        </w:rPr>
        <w:t>Financial crisis in America</w:t>
      </w:r>
      <w:r w:rsidRPr="00CE1FE2">
        <w:rPr>
          <w:rFonts w:ascii="Times New Roman" w:eastAsia="Times New Roman" w:hAnsi="Times New Roman" w:cs="Times New Roman"/>
          <w:color w:val="000000"/>
          <w:sz w:val="24"/>
          <w:szCs w:val="24"/>
        </w:rPr>
        <w:t>. Hauppauge, NY: Nova Science Publishers.</w:t>
      </w:r>
    </w:p>
    <w:p w:rsidR="00CE1FE2" w:rsidRPr="00CE1FE2" w:rsidRDefault="00CE1FE2" w:rsidP="00CE1FE2">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CE1FE2">
        <w:rPr>
          <w:rFonts w:ascii="Times New Roman" w:eastAsia="Times New Roman" w:hAnsi="Times New Roman" w:cs="Times New Roman"/>
          <w:color w:val="000000"/>
          <w:sz w:val="24"/>
          <w:szCs w:val="24"/>
        </w:rPr>
        <w:t>United States. (2011). </w:t>
      </w:r>
      <w:r w:rsidRPr="00CE1FE2">
        <w:rPr>
          <w:rFonts w:ascii="Times New Roman" w:eastAsia="Times New Roman" w:hAnsi="Times New Roman" w:cs="Times New Roman"/>
          <w:i/>
          <w:iCs/>
          <w:color w:val="000000"/>
          <w:sz w:val="24"/>
          <w:szCs w:val="24"/>
        </w:rPr>
        <w:t>Mortgage reform: Potential impacts of provisions in the Dodd-Frank Act on homebuyers and the mortgage market : report to congressional committees</w:t>
      </w:r>
      <w:r w:rsidRPr="00CE1FE2">
        <w:rPr>
          <w:rFonts w:ascii="Times New Roman" w:eastAsia="Times New Roman" w:hAnsi="Times New Roman" w:cs="Times New Roman"/>
          <w:color w:val="000000"/>
          <w:sz w:val="24"/>
          <w:szCs w:val="24"/>
        </w:rPr>
        <w:t>. Washington, D.C.: U.S. Govt. Accountability Office.</w:t>
      </w:r>
    </w:p>
    <w:p w:rsidR="00CE1FE2" w:rsidRPr="00FE6F1C" w:rsidRDefault="00CE1FE2" w:rsidP="00C43583">
      <w:pPr>
        <w:spacing w:line="480" w:lineRule="auto"/>
        <w:rPr>
          <w:rFonts w:ascii="Times New Roman" w:hAnsi="Times New Roman" w:cs="Times New Roman"/>
          <w:sz w:val="24"/>
          <w:szCs w:val="24"/>
        </w:rPr>
      </w:pPr>
    </w:p>
    <w:sectPr w:rsidR="00CE1FE2" w:rsidRPr="00FE6F1C" w:rsidSect="00C4358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7136" w:rsidRDefault="00907136" w:rsidP="00C43583">
      <w:pPr>
        <w:spacing w:after="0" w:line="240" w:lineRule="auto"/>
      </w:pPr>
      <w:r>
        <w:separator/>
      </w:r>
    </w:p>
  </w:endnote>
  <w:endnote w:type="continuationSeparator" w:id="0">
    <w:p w:rsidR="00907136" w:rsidRDefault="00907136" w:rsidP="00C435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7136" w:rsidRDefault="00907136" w:rsidP="00C43583">
      <w:pPr>
        <w:spacing w:after="0" w:line="240" w:lineRule="auto"/>
      </w:pPr>
      <w:r>
        <w:separator/>
      </w:r>
    </w:p>
  </w:footnote>
  <w:footnote w:type="continuationSeparator" w:id="0">
    <w:p w:rsidR="00907136" w:rsidRDefault="00907136" w:rsidP="00C435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27084899"/>
      <w:docPartObj>
        <w:docPartGallery w:val="Page Numbers (Top of Page)"/>
        <w:docPartUnique/>
      </w:docPartObj>
    </w:sdtPr>
    <w:sdtEndPr>
      <w:rPr>
        <w:noProof/>
      </w:rPr>
    </w:sdtEndPr>
    <w:sdtContent>
      <w:p w:rsidR="00C43583" w:rsidRPr="007F77C1" w:rsidRDefault="00C43583">
        <w:pPr>
          <w:pStyle w:val="Header"/>
          <w:jc w:val="right"/>
          <w:rPr>
            <w:rFonts w:ascii="Times New Roman" w:hAnsi="Times New Roman" w:cs="Times New Roman"/>
            <w:sz w:val="24"/>
            <w:szCs w:val="24"/>
          </w:rPr>
        </w:pPr>
        <w:r w:rsidRPr="007F77C1">
          <w:rPr>
            <w:rFonts w:ascii="Times New Roman" w:hAnsi="Times New Roman" w:cs="Times New Roman"/>
            <w:sz w:val="24"/>
            <w:szCs w:val="24"/>
          </w:rPr>
          <w:t xml:space="preserve">FINANCIAL CRISIS </w:t>
        </w:r>
        <w:r w:rsidRPr="007F77C1">
          <w:rPr>
            <w:rFonts w:ascii="Times New Roman" w:hAnsi="Times New Roman" w:cs="Times New Roman"/>
            <w:sz w:val="24"/>
            <w:szCs w:val="24"/>
          </w:rPr>
          <w:tab/>
        </w:r>
        <w:r w:rsidRPr="007F77C1">
          <w:rPr>
            <w:rFonts w:ascii="Times New Roman" w:hAnsi="Times New Roman" w:cs="Times New Roman"/>
            <w:sz w:val="24"/>
            <w:szCs w:val="24"/>
          </w:rPr>
          <w:tab/>
        </w:r>
        <w:r w:rsidRPr="007F77C1">
          <w:rPr>
            <w:rFonts w:ascii="Times New Roman" w:hAnsi="Times New Roman" w:cs="Times New Roman"/>
            <w:sz w:val="24"/>
            <w:szCs w:val="24"/>
          </w:rPr>
          <w:fldChar w:fldCharType="begin"/>
        </w:r>
        <w:r w:rsidRPr="007F77C1">
          <w:rPr>
            <w:rFonts w:ascii="Times New Roman" w:hAnsi="Times New Roman" w:cs="Times New Roman"/>
            <w:sz w:val="24"/>
            <w:szCs w:val="24"/>
          </w:rPr>
          <w:instrText xml:space="preserve"> PAGE   \* MERGEFORMAT </w:instrText>
        </w:r>
        <w:r w:rsidRPr="007F77C1">
          <w:rPr>
            <w:rFonts w:ascii="Times New Roman" w:hAnsi="Times New Roman" w:cs="Times New Roman"/>
            <w:sz w:val="24"/>
            <w:szCs w:val="24"/>
          </w:rPr>
          <w:fldChar w:fldCharType="separate"/>
        </w:r>
        <w:r w:rsidR="007F77C1">
          <w:rPr>
            <w:rFonts w:ascii="Times New Roman" w:hAnsi="Times New Roman" w:cs="Times New Roman"/>
            <w:noProof/>
            <w:sz w:val="24"/>
            <w:szCs w:val="24"/>
          </w:rPr>
          <w:t>5</w:t>
        </w:r>
        <w:r w:rsidRPr="007F77C1">
          <w:rPr>
            <w:rFonts w:ascii="Times New Roman" w:hAnsi="Times New Roman" w:cs="Times New Roman"/>
            <w:noProof/>
            <w:sz w:val="24"/>
            <w:szCs w:val="24"/>
          </w:rPr>
          <w:fldChar w:fldCharType="end"/>
        </w:r>
      </w:p>
    </w:sdtContent>
  </w:sdt>
  <w:p w:rsidR="00C43583" w:rsidRDefault="00C435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77C1" w:rsidRPr="007F77C1" w:rsidRDefault="007F77C1">
    <w:pPr>
      <w:pStyle w:val="Header"/>
      <w:jc w:val="right"/>
      <w:rPr>
        <w:rFonts w:ascii="Times New Roman" w:hAnsi="Times New Roman" w:cs="Times New Roman"/>
        <w:sz w:val="24"/>
        <w:szCs w:val="24"/>
      </w:rPr>
    </w:pPr>
    <w:r w:rsidRPr="007F77C1">
      <w:rPr>
        <w:rFonts w:ascii="Times New Roman" w:hAnsi="Times New Roman" w:cs="Times New Roman"/>
        <w:sz w:val="24"/>
        <w:szCs w:val="24"/>
      </w:rPr>
      <w:t>Running Head: FINANCIAL CRISIS</w:t>
    </w:r>
    <w:r w:rsidRPr="007F77C1">
      <w:rPr>
        <w:rFonts w:ascii="Times New Roman" w:hAnsi="Times New Roman" w:cs="Times New Roman"/>
        <w:sz w:val="24"/>
        <w:szCs w:val="24"/>
      </w:rPr>
      <w:tab/>
    </w:r>
    <w:r w:rsidRPr="007F77C1">
      <w:rPr>
        <w:rFonts w:ascii="Times New Roman" w:hAnsi="Times New Roman" w:cs="Times New Roman"/>
        <w:sz w:val="24"/>
        <w:szCs w:val="24"/>
      </w:rPr>
      <w:tab/>
    </w:r>
    <w:sdt>
      <w:sdtPr>
        <w:rPr>
          <w:rFonts w:ascii="Times New Roman" w:hAnsi="Times New Roman" w:cs="Times New Roman"/>
          <w:sz w:val="24"/>
          <w:szCs w:val="24"/>
        </w:rPr>
        <w:id w:val="337741057"/>
        <w:docPartObj>
          <w:docPartGallery w:val="Page Numbers (Top of Page)"/>
          <w:docPartUnique/>
        </w:docPartObj>
      </w:sdtPr>
      <w:sdtEndPr>
        <w:rPr>
          <w:noProof/>
        </w:rPr>
      </w:sdtEndPr>
      <w:sdtContent>
        <w:r w:rsidRPr="007F77C1">
          <w:rPr>
            <w:rFonts w:ascii="Times New Roman" w:hAnsi="Times New Roman" w:cs="Times New Roman"/>
            <w:sz w:val="24"/>
            <w:szCs w:val="24"/>
          </w:rPr>
          <w:fldChar w:fldCharType="begin"/>
        </w:r>
        <w:r w:rsidRPr="007F77C1">
          <w:rPr>
            <w:rFonts w:ascii="Times New Roman" w:hAnsi="Times New Roman" w:cs="Times New Roman"/>
            <w:sz w:val="24"/>
            <w:szCs w:val="24"/>
          </w:rPr>
          <w:instrText xml:space="preserve"> PAGE   \* MERGEFORMAT </w:instrText>
        </w:r>
        <w:r w:rsidRPr="007F77C1">
          <w:rPr>
            <w:rFonts w:ascii="Times New Roman" w:hAnsi="Times New Roman" w:cs="Times New Roman"/>
            <w:sz w:val="24"/>
            <w:szCs w:val="24"/>
          </w:rPr>
          <w:fldChar w:fldCharType="separate"/>
        </w:r>
        <w:r>
          <w:rPr>
            <w:rFonts w:ascii="Times New Roman" w:hAnsi="Times New Roman" w:cs="Times New Roman"/>
            <w:noProof/>
            <w:sz w:val="24"/>
            <w:szCs w:val="24"/>
          </w:rPr>
          <w:t>1</w:t>
        </w:r>
        <w:r w:rsidRPr="007F77C1">
          <w:rPr>
            <w:rFonts w:ascii="Times New Roman" w:hAnsi="Times New Roman" w:cs="Times New Roman"/>
            <w:noProof/>
            <w:sz w:val="24"/>
            <w:szCs w:val="24"/>
          </w:rPr>
          <w:fldChar w:fldCharType="end"/>
        </w:r>
      </w:sdtContent>
    </w:sdt>
  </w:p>
  <w:p w:rsidR="00C43583" w:rsidRPr="007F77C1" w:rsidRDefault="00C4358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583"/>
    <w:rsid w:val="00102238"/>
    <w:rsid w:val="001303A9"/>
    <w:rsid w:val="0018514F"/>
    <w:rsid w:val="0077401F"/>
    <w:rsid w:val="007F77C1"/>
    <w:rsid w:val="00907136"/>
    <w:rsid w:val="009E1004"/>
    <w:rsid w:val="00B75565"/>
    <w:rsid w:val="00BE272B"/>
    <w:rsid w:val="00C43583"/>
    <w:rsid w:val="00CE1FE2"/>
    <w:rsid w:val="00D13748"/>
    <w:rsid w:val="00DD01D5"/>
    <w:rsid w:val="00F54C73"/>
    <w:rsid w:val="00FE6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2D457-3C26-4E38-955A-C7AC358D9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5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583"/>
  </w:style>
  <w:style w:type="paragraph" w:styleId="Footer">
    <w:name w:val="footer"/>
    <w:basedOn w:val="Normal"/>
    <w:link w:val="FooterChar"/>
    <w:uiPriority w:val="99"/>
    <w:unhideWhenUsed/>
    <w:rsid w:val="00C435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3583"/>
  </w:style>
  <w:style w:type="paragraph" w:customStyle="1" w:styleId="cpformat">
    <w:name w:val="cpformat"/>
    <w:basedOn w:val="Normal"/>
    <w:rsid w:val="00CE1FE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E1FE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4097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881</Words>
  <Characters>5026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2018-10-22T12:51:00Z</dcterms:created>
  <dcterms:modified xsi:type="dcterms:W3CDTF">2018-10-22T12:51:00Z</dcterms:modified>
</cp:coreProperties>
</file>